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Челябинска.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Принять заявку могут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Управлении наружной рекламы и информации Администрации города Челябинска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или в электронной форме на почту специалиста/отдела, который занимается вопросом регистрации.</w:t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Срок рассмотрения заявки до 30 календарных дней.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242424"/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Основные требования к типам разрешенных к размещению вывесок.</w:t>
      </w:r>
    </w:p>
    <w:p w:rsidR="00000000" w:rsidDel="00000000" w:rsidP="00000000" w:rsidRDefault="00000000" w:rsidRPr="00000000" w14:paraId="0000000D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На фасадах одного здания организация или индивидуальный предприниматель вправе установить не более одной вывески одного из следующих типов: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настенная конструкция (конструкция </w:t>
      </w:r>
      <w:r w:rsidDel="00000000" w:rsidR="00000000" w:rsidRPr="00000000">
        <w:rPr>
          <w:sz w:val="24"/>
          <w:szCs w:val="24"/>
          <w:rtl w:val="0"/>
        </w:rPr>
        <w:t xml:space="preserve">вывески</w:t>
      </w:r>
      <w:r w:rsidDel="00000000" w:rsidR="00000000" w:rsidRPr="00000000">
        <w:rPr>
          <w:sz w:val="24"/>
          <w:szCs w:val="24"/>
          <w:rtl w:val="0"/>
        </w:rPr>
        <w:t xml:space="preserve"> располагается параллельно поверхности фасадов объектов и (или) их конструктивных элементов);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консольная конструкция (конструкция </w:t>
      </w:r>
      <w:r w:rsidDel="00000000" w:rsidR="00000000" w:rsidRPr="00000000">
        <w:rPr>
          <w:sz w:val="24"/>
          <w:szCs w:val="24"/>
          <w:rtl w:val="0"/>
        </w:rPr>
        <w:t xml:space="preserve">вывески</w:t>
      </w:r>
      <w:r w:rsidDel="00000000" w:rsidR="00000000" w:rsidRPr="00000000">
        <w:rPr>
          <w:sz w:val="24"/>
          <w:szCs w:val="24"/>
          <w:rtl w:val="0"/>
        </w:rPr>
        <w:t xml:space="preserve"> располагается перпендикулярно к поверхности фасадов объектов и (или) их конструктивных элементов);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витринная конструкция (конструкция </w:t>
      </w:r>
      <w:r w:rsidDel="00000000" w:rsidR="00000000" w:rsidRPr="00000000">
        <w:rPr>
          <w:sz w:val="24"/>
          <w:szCs w:val="24"/>
          <w:rtl w:val="0"/>
        </w:rPr>
        <w:t xml:space="preserve">вывески</w:t>
      </w:r>
      <w:r w:rsidDel="00000000" w:rsidR="00000000" w:rsidRPr="00000000">
        <w:rPr>
          <w:sz w:val="24"/>
          <w:szCs w:val="24"/>
          <w:rtl w:val="0"/>
        </w:rPr>
        <w:t xml:space="preserve"> располагается на внешней или внутренней стороне остекления витрины).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Высота вывески не должна превышать 0,50 м. Допускается размещение текста Вывески в две строки при условии, что общая высота такой вывески не превышает 0,75 м (с учетом высоты выносных элементов строчных и прописных букв за пределами размера основного шрифта).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В случае если вывеска представляет собой объемные символы без использования подложки, высота вывески не должна превышать 0,75 м (с учетом высоты выносных элементов строчных и прописных букв за пределами размера основного шрифта (не более 0,50 м), а также высоты декоративно-художественных элементов).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На вывеске может быть организована подсветка. Подсветка вывески должна иметь немерцающий приглушенный свет, не создавать прямых направленных лучей в окна жилых помещений.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Настенные конструкции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размещаются над входом или окнами помещений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линии. Если горизонтальная ось вывески находится на уровне линии перекрытия, то текстовая часть, декоративно-художественные элементы и подложка вывески могут частично располагаться выше линии перекрытия, при этом элементы крепления вывески к стене не должны располагаться выше линии перекрытия (отметки верха перекрытия).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Максимальный размер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настенных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размещаемых организациями, индивидуальными предпринимателями на фасадах зданий, строений, сооружений, не должен превышать: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высоте - 0,50 м, за исключением размещения настенной вывески на фризе;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длине - 70 процентов от длины фасада, соответствующей занимаемым данными организациями, индивидуальными предпринимателями помещениям, но не более 15 м для единичной конструкции.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В дополнение к настенной конструкции, размещаемой непосредственно на фасадах зданий, строений, сооружений, допускается размещение вывесок на дверях входных групп, в том числе методом нанесения трафаретной печати или выполнения аппликаций из самоклеющихся пленок на остекление дверей.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Максимальный размер данных Вывесок не должен превышать: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высоте - 0,40 м;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по длине - 0,30 м.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Консольные конструкции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располагаются в одной горизонтальной плоскости фасада, у арок, на границах и внешних углах зданий и расстояние между консольными конструкциями менее 10 м не допускается.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Расстояние от уровня земли до нижнего края консольной конструкции должно быть не менее 2,50 м, консольная конструкция не должна находиться более чем на 0,20 м от края фасада, а крайняя точка ее лицевой стороны - на расстоянии более чем 1 м от плоскости фасада. В высоту консольная конструкция не должна превышать 1 м.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 Максимальный размер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витринных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включая электронные носители - экраны, размещаемых в витрине, а также с внутренней стороны остекления витрины, не должен превышать половины размера остекления витрины (при наличии переплетов (импостов) половины размера остекления в границах переплетов (импостов) по высоте и половины размера остекления витрины (при наличии переплетов (импостов) половины размера остекления в границах переплетов (импостов) по длине. При этом витринные конструкции должны размещаться строго в границах переплетов (импостов).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 Высота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крышных конструкций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должна быть в пределах: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1,80 м для 1 - 3-этажных объектов;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3 м для 4 - 7-этажных объектов;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4 м для 8 - 12-этажных объектов;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5 м для 13 - 17-этажных объектов;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6 метров - для объектов, имеющих 18 и более этажей;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без ограничений по высоте - для зданий крупных торговых центров с площадью застройки более 15 тыс. кв. м.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этом длина не должна превышать половину длины фасада, по отношению к которому она размещена.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Запрещается размещение крышных конструкций на крышах зданий, являющихся объектами культурного наследия.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11.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Информационные конструкции (вывески) или информационные таблички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размещаются на доступном для обозрения плоских участках фасада, свободных от архитектурных элементов, непосредственно у входа (справа или слева) в здание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Для одной организации, индивидуального предпринимателя на одном объекте устанавливается не более одной информационной таблички.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Расстояние от уровня земли (пола входной группы) до верхнего края информационной таблички не должно превышать 2 м.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Допустимый размер информационной таблички составляет: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0,60 м по длине;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более 0,40 м по высоте.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этом высота букв, знаков, размещаемых на информационной табличке, не превышает 0,10 м.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Источник информации -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Электронный фонд правовых и нормативно-технических документов.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firstLine="48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446602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